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12" w:rsidRPr="006A5CFA" w:rsidRDefault="00940912" w:rsidP="002E7C85">
      <w:pPr>
        <w:rPr>
          <w:sz w:val="24"/>
          <w:szCs w:val="24"/>
          <w:lang w:val="uk-UA"/>
        </w:rPr>
      </w:pPr>
    </w:p>
    <w:p w:rsidR="008F70A3" w:rsidRDefault="008F70A3" w:rsidP="008F70A3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ПАМ’ЯТКА батькам,</w:t>
      </w:r>
    </w:p>
    <w:p w:rsidR="008F70A3" w:rsidRDefault="008F70A3" w:rsidP="008F70A3">
      <w:pPr>
        <w:spacing w:line="360" w:lineRule="auto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які планують здійснити благодійний внесок до навчального закладу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1. Благодійна діяльність регламентується законодавчими актами та нормативними документами (перелік додається).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2. Благодійні внески можуть бути виключно добровільними! Допомагати навчальному закладу чи ні – це Ваше особисте рішення. Ніхто не може контролювати здійснення Вами благодійної допомоги.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>3. Благодійні внески у вигляді коштів не можуть прийматися працівниками навчального закладу, окрім бухгалтера у навчальних закладах, що ведуть самостійний бухгалтерський облік.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4. Переказ благодійних внесків Ви можете здійснити на спеціальний розрахунковий рахунок навчального закладу, що розміщений на інформаційному стенді та на сайті навчального закладу, через каси банку, </w:t>
      </w:r>
      <w:proofErr w:type="spellStart"/>
      <w:r>
        <w:rPr>
          <w:lang w:val="uk-UA"/>
        </w:rPr>
        <w:t>інтернет-банкінг</w:t>
      </w:r>
      <w:proofErr w:type="spellEnd"/>
      <w:r>
        <w:rPr>
          <w:lang w:val="uk-UA"/>
        </w:rPr>
        <w:t xml:space="preserve">, платіжні системи тощо. У будь-якому обраному Вами варіанті обов’язковим є відповідне оформлення у бухгалтерському обліку.  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5. Якщо благодійний внесок робиться у грошовій формі слід зазначати цілі, на які внесок призначається (обговорений на засіданні Ради навчального закладу трирічний план розвитку матеріально-технічної бази навчального закладу розміщений на сайті навчального закладу). Якщо благодійник не вказує цілі, то керівник навчального закладу може направити благодійні кошти на першочергові потреби, пов’язані виключно з основною діяльністю.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6. Благодійник має право здійснювати контроль за цільовим використанням благодійних внесків, у тому числі шляхом отримання інформації на письмовий запит, участі в загальних зборах батьків, де вирішуються питання надання благодійної допомоги та/чи заслуховується звіт батьківського комітету (ради) про використання благодійної допомоги. Ви можете вимагати позачергові звіти батьківських комітетів (рад) про використання благодійної допомоги.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7. Благодійник має право отримувати звіт про використання внесків.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8. Щомісячний звіт адміністрації навчального закладу щодо залучення та використання благодійних внесків у рекомендованій Департаментом освіти формі повинен розміщуватися на сайті та інформаційному стенді навчального закладу.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9. Ви маєте знати про обов’язковість щорічного звітування керівника навчального закладу на загальних зборах (конференціях) педагогічного колективу, батьківського комітету, ради, піклувальної ради та громадськості.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10. У разі примусового збору коштів, фактів дискримінації дітей  або порушення вимог діючого законодавства України Ви завжди можете звернутися за Телефонами Довіри до Департаменту освіти Харківської міської ради (725-25-01), громадських приймалень депутатів Харківської міської ради 7 скликання (номери телефонів розміщені на офіційному сайті Харківської міської ради, міського голови, виконавчого комітету </w:t>
      </w:r>
      <w:hyperlink r:id="rId7" w:history="1">
        <w:r>
          <w:rPr>
            <w:rStyle w:val="a6"/>
            <w:lang w:val="uk-UA"/>
          </w:rPr>
          <w:t>http://www.city.kharkov.ua</w:t>
        </w:r>
      </w:hyperlink>
      <w:r>
        <w:rPr>
          <w:lang w:val="uk-UA"/>
        </w:rPr>
        <w:t xml:space="preserve"> або управлінь освіти адміністрацій районів Харківської міської ради.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4"/>
        <w:gridCol w:w="2275"/>
      </w:tblGrid>
      <w:tr w:rsidR="008F70A3" w:rsidTr="00D60392"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Default="008F70A3" w:rsidP="00D60392">
            <w:pPr>
              <w:tabs>
                <w:tab w:val="left" w:pos="993"/>
              </w:tabs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Немишлянський</w:t>
            </w:r>
            <w:proofErr w:type="spellEnd"/>
            <w:r>
              <w:rPr>
                <w:lang w:val="uk-UA"/>
              </w:rPr>
              <w:t xml:space="preserve"> район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Default="008F70A3" w:rsidP="00D60392">
            <w:pPr>
              <w:tabs>
                <w:tab w:val="left" w:pos="993"/>
              </w:tabs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392-02-41</w:t>
            </w:r>
          </w:p>
        </w:tc>
      </w:tr>
    </w:tbl>
    <w:p w:rsidR="008F70A3" w:rsidRDefault="008F70A3" w:rsidP="008F70A3">
      <w:pPr>
        <w:jc w:val="center"/>
        <w:rPr>
          <w:b/>
          <w:szCs w:val="28"/>
          <w:lang w:val="uk-UA" w:eastAsia="en-US"/>
        </w:rPr>
      </w:pPr>
    </w:p>
    <w:p w:rsidR="008F70A3" w:rsidRDefault="008F70A3" w:rsidP="008F70A3">
      <w:pPr>
        <w:tabs>
          <w:tab w:val="left" w:pos="993"/>
        </w:tabs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Необхідний перелік нормативних документів</w:t>
      </w:r>
    </w:p>
    <w:p w:rsidR="008F70A3" w:rsidRDefault="008F70A3" w:rsidP="008F70A3">
      <w:pPr>
        <w:tabs>
          <w:tab w:val="left" w:pos="993"/>
        </w:tabs>
        <w:ind w:firstLine="709"/>
        <w:jc w:val="both"/>
        <w:rPr>
          <w:szCs w:val="28"/>
          <w:lang w:val="uk-UA"/>
        </w:rPr>
      </w:pPr>
    </w:p>
    <w:p w:rsidR="008F70A3" w:rsidRDefault="008F70A3" w:rsidP="008F70A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  <w:lang w:val="uk-UA"/>
        </w:rPr>
        <w:t xml:space="preserve">Конституція України, Цивільний кодекс України, Бюджетний кодекс України; </w:t>
      </w:r>
    </w:p>
    <w:p w:rsidR="008F70A3" w:rsidRDefault="008F70A3" w:rsidP="008F70A3">
      <w:pPr>
        <w:tabs>
          <w:tab w:val="left" w:pos="993"/>
        </w:tabs>
        <w:ind w:left="709"/>
        <w:jc w:val="both"/>
        <w:rPr>
          <w:szCs w:val="28"/>
        </w:rPr>
      </w:pPr>
    </w:p>
    <w:p w:rsidR="008F70A3" w:rsidRDefault="008F70A3" w:rsidP="008F70A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  <w:lang w:val="uk-UA"/>
        </w:rPr>
        <w:t>закони України «Про освіту», «Про загальну середню освіту», «Про дошкільну освіту», «Про благодійну діяльність та благодійні організації», «Про бухгалтерський  облік  та  фінансову звітність в Україні»;</w:t>
      </w:r>
    </w:p>
    <w:p w:rsidR="008F70A3" w:rsidRDefault="008F70A3" w:rsidP="008F70A3">
      <w:pPr>
        <w:tabs>
          <w:tab w:val="left" w:pos="993"/>
        </w:tabs>
        <w:jc w:val="both"/>
        <w:rPr>
          <w:szCs w:val="28"/>
        </w:rPr>
      </w:pPr>
    </w:p>
    <w:p w:rsidR="008F70A3" w:rsidRDefault="008F70A3" w:rsidP="008F70A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постанови Кабінету Міністрів України від 04.08.2000 № 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фінансування»;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17.08.1998 № 1295 «Про </w:t>
      </w:r>
      <w:proofErr w:type="spellStart"/>
      <w:r>
        <w:rPr>
          <w:szCs w:val="28"/>
        </w:rPr>
        <w:t>затвердження</w:t>
      </w:r>
      <w:proofErr w:type="spellEnd"/>
      <w:r>
        <w:rPr>
          <w:szCs w:val="28"/>
        </w:rPr>
        <w:t xml:space="preserve"> Порядку </w:t>
      </w:r>
      <w:proofErr w:type="spellStart"/>
      <w:r>
        <w:rPr>
          <w:szCs w:val="28"/>
        </w:rPr>
        <w:t>розподілу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товарів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отриманих</w:t>
      </w:r>
      <w:proofErr w:type="spellEnd"/>
      <w:r>
        <w:rPr>
          <w:szCs w:val="28"/>
        </w:rPr>
        <w:t xml:space="preserve"> як </w:t>
      </w:r>
      <w:proofErr w:type="spellStart"/>
      <w:r>
        <w:rPr>
          <w:szCs w:val="28"/>
        </w:rPr>
        <w:t>благодійна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допомога</w:t>
      </w:r>
      <w:proofErr w:type="spellEnd"/>
      <w:r>
        <w:rPr>
          <w:szCs w:val="28"/>
        </w:rPr>
        <w:t xml:space="preserve">, та контролю  за </w:t>
      </w:r>
      <w:proofErr w:type="spellStart"/>
      <w:r>
        <w:rPr>
          <w:szCs w:val="28"/>
        </w:rPr>
        <w:t>цільовим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розподілом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благодійної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допомоги</w:t>
      </w:r>
      <w:proofErr w:type="spellEnd"/>
      <w:r>
        <w:rPr>
          <w:szCs w:val="28"/>
        </w:rPr>
        <w:t xml:space="preserve"> у  </w:t>
      </w:r>
      <w:proofErr w:type="spellStart"/>
      <w:r>
        <w:rPr>
          <w:szCs w:val="28"/>
        </w:rPr>
        <w:t>вигляді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наданих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послуг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робіт</w:t>
      </w:r>
      <w:proofErr w:type="spellEnd"/>
      <w:r>
        <w:rPr>
          <w:szCs w:val="28"/>
        </w:rPr>
        <w:t>»</w:t>
      </w:r>
      <w:r>
        <w:rPr>
          <w:szCs w:val="28"/>
          <w:lang w:val="uk-UA"/>
        </w:rPr>
        <w:t>;</w:t>
      </w:r>
    </w:p>
    <w:p w:rsidR="008F70A3" w:rsidRDefault="008F70A3" w:rsidP="008F70A3">
      <w:pPr>
        <w:tabs>
          <w:tab w:val="left" w:pos="993"/>
        </w:tabs>
        <w:jc w:val="both"/>
        <w:rPr>
          <w:szCs w:val="28"/>
          <w:lang w:val="uk-UA"/>
        </w:rPr>
      </w:pPr>
    </w:p>
    <w:p w:rsidR="008F70A3" w:rsidRDefault="008F70A3" w:rsidP="008F70A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накази Міністерства фінансів України від 25.09.2015 № 840 «Про затвердження Змін до деяких Методичних рекомендацій з бухгалтерського обліку для суб’єктів державного сектору»; від 12.10.2010 № 1202 «Про затвердження Національних положень (стандартів) бухгалтерського обліку (НП(С)БО) в державному секторі 121 «Основні засоби» та 123 «Запаси»»; від 26.06.2013 № 611 «Про затвердження плану рахунків бухгалтерського обліку бюджетних установ та Порядок його застосування» та «Про затвердження Типової кореспонденції субрахунків бухгалтерського обліку для відображення операцій з активами, капіталом та зобов’язаннями бюджетних установ»;</w:t>
      </w:r>
    </w:p>
    <w:p w:rsidR="008F70A3" w:rsidRDefault="008F70A3" w:rsidP="008F70A3">
      <w:pPr>
        <w:tabs>
          <w:tab w:val="left" w:pos="993"/>
        </w:tabs>
        <w:jc w:val="both"/>
        <w:rPr>
          <w:szCs w:val="28"/>
          <w:lang w:val="uk-UA"/>
        </w:rPr>
      </w:pPr>
    </w:p>
    <w:p w:rsidR="008F70A3" w:rsidRDefault="008F70A3" w:rsidP="008F70A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  <w:lang w:val="uk-UA"/>
        </w:rPr>
        <w:t>наказ Міністерства освіти і науки України від 02.06.2004  № 440 «Про затвердження Примірного положення про батьківські комітети (ради) загальноосвітнього навчального закладу»;</w:t>
      </w:r>
    </w:p>
    <w:p w:rsidR="008F70A3" w:rsidRDefault="008F70A3" w:rsidP="008F70A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  <w:lang w:val="uk-UA"/>
        </w:rPr>
        <w:t>наказ Міністерства освіти і науки, молоді та спорту України від 26.04.2011 № 398 «Про затвердження Примірного положення про батьківські комітети (раду) дошкільного навчального закладу»;</w:t>
      </w:r>
    </w:p>
    <w:p w:rsidR="008F70A3" w:rsidRDefault="008F70A3" w:rsidP="008F70A3">
      <w:pPr>
        <w:tabs>
          <w:tab w:val="left" w:pos="993"/>
        </w:tabs>
        <w:ind w:left="709"/>
        <w:jc w:val="both"/>
        <w:rPr>
          <w:szCs w:val="28"/>
        </w:rPr>
      </w:pPr>
    </w:p>
    <w:p w:rsidR="008F70A3" w:rsidRDefault="008F70A3" w:rsidP="008F70A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листи Міністерства освіти і науки України від </w:t>
      </w:r>
      <w:r>
        <w:rPr>
          <w:bCs/>
          <w:iCs/>
          <w:szCs w:val="28"/>
          <w:lang w:val="uk-UA"/>
        </w:rPr>
        <w:t xml:space="preserve">28.04.2010 № 1/9-290 </w:t>
      </w:r>
      <w:hyperlink r:id="rId8" w:history="1">
        <w:r>
          <w:rPr>
            <w:rStyle w:val="a6"/>
            <w:bCs/>
            <w:iCs/>
            <w:szCs w:val="28"/>
            <w:lang w:val="uk-UA"/>
          </w:rPr>
          <w:t>«Щодо здійснення</w:t>
        </w:r>
        <w:r>
          <w:rPr>
            <w:rStyle w:val="a6"/>
            <w:bCs/>
            <w:iCs/>
            <w:szCs w:val="28"/>
          </w:rPr>
          <w:t> </w:t>
        </w:r>
        <w:r>
          <w:rPr>
            <w:rStyle w:val="a6"/>
            <w:bCs/>
            <w:iCs/>
            <w:szCs w:val="28"/>
            <w:lang w:val="uk-UA"/>
          </w:rPr>
          <w:t xml:space="preserve"> благодійних та спонсорських внесків»; від </w:t>
        </w:r>
      </w:hyperlink>
      <w:r>
        <w:rPr>
          <w:iCs/>
          <w:szCs w:val="28"/>
          <w:lang w:val="uk-UA"/>
        </w:rPr>
        <w:t>0</w:t>
      </w:r>
      <w:r>
        <w:rPr>
          <w:szCs w:val="28"/>
          <w:lang w:val="uk-UA"/>
        </w:rPr>
        <w:t xml:space="preserve">5.04.2011 № 1/9-289 «Щодо оприлюднення інформації про використання благодійних та спонсорських внесків»; від 05.09.2013 № 1/9-608 «Щодо благодійних </w:t>
      </w:r>
      <w:r>
        <w:rPr>
          <w:szCs w:val="28"/>
          <w:lang w:val="uk-UA"/>
        </w:rPr>
        <w:lastRenderedPageBreak/>
        <w:t xml:space="preserve">внесків»; </w:t>
      </w:r>
      <w:r>
        <w:rPr>
          <w:bCs/>
          <w:iCs/>
          <w:szCs w:val="28"/>
          <w:lang w:val="uk-UA"/>
        </w:rPr>
        <w:t>від</w:t>
      </w:r>
      <w:r>
        <w:rPr>
          <w:bCs/>
          <w:iCs/>
          <w:szCs w:val="28"/>
        </w:rPr>
        <w:t> </w:t>
      </w:r>
      <w:r>
        <w:rPr>
          <w:bCs/>
          <w:iCs/>
          <w:szCs w:val="28"/>
          <w:lang w:val="uk-UA"/>
        </w:rPr>
        <w:t>28.11.2013 № 1/9-848</w:t>
      </w:r>
      <w:r>
        <w:rPr>
          <w:bCs/>
          <w:iCs/>
          <w:szCs w:val="28"/>
        </w:rPr>
        <w:t> </w:t>
      </w:r>
      <w:hyperlink r:id="rId9" w:history="1">
        <w:r>
          <w:rPr>
            <w:rStyle w:val="a6"/>
            <w:bCs/>
            <w:iCs/>
            <w:szCs w:val="28"/>
            <w:lang w:val="uk-UA"/>
          </w:rPr>
          <w:t>«Про організацію благодійних фондів у загальноосвітніх навчальних закладах</w:t>
        </w:r>
      </w:hyperlink>
      <w:r>
        <w:rPr>
          <w:iCs/>
          <w:szCs w:val="28"/>
          <w:lang w:val="uk-UA"/>
        </w:rPr>
        <w:t>»;</w:t>
      </w:r>
    </w:p>
    <w:p w:rsidR="008F70A3" w:rsidRPr="00C7536B" w:rsidRDefault="008F70A3" w:rsidP="008F70A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szCs w:val="28"/>
          <w:lang w:val="uk-UA"/>
        </w:rPr>
      </w:pPr>
      <w:r w:rsidRPr="00901CFD">
        <w:rPr>
          <w:bCs/>
          <w:iCs/>
          <w:szCs w:val="28"/>
          <w:lang w:val="uk-UA"/>
        </w:rPr>
        <w:t>листи Міністерства освіти і науки, молоді та спорту України від</w:t>
      </w:r>
      <w:r w:rsidRPr="00901CFD">
        <w:rPr>
          <w:bCs/>
          <w:iCs/>
          <w:szCs w:val="28"/>
        </w:rPr>
        <w:t> </w:t>
      </w:r>
      <w:r w:rsidRPr="00901CFD">
        <w:rPr>
          <w:bCs/>
          <w:iCs/>
          <w:szCs w:val="28"/>
          <w:lang w:val="uk-UA"/>
        </w:rPr>
        <w:t xml:space="preserve"> 15.04.2011 №1/9-289 </w:t>
      </w:r>
      <w:r w:rsidRPr="00901CFD">
        <w:rPr>
          <w:szCs w:val="28"/>
          <w:lang w:val="uk-UA"/>
        </w:rPr>
        <w:t>«Щодо оприлюднення інформації про використання благодійних та спонсорських внесків»</w:t>
      </w:r>
      <w:r w:rsidRPr="00901CFD">
        <w:rPr>
          <w:iCs/>
          <w:szCs w:val="28"/>
          <w:lang w:val="uk-UA"/>
        </w:rPr>
        <w:t xml:space="preserve">; </w:t>
      </w:r>
      <w:r w:rsidRPr="00901CFD">
        <w:rPr>
          <w:szCs w:val="28"/>
          <w:lang w:val="uk-UA"/>
        </w:rPr>
        <w:t>від 09.04.2012 № 1/9-272 «Щодо благодійних внесків».</w:t>
      </w:r>
    </w:p>
    <w:p w:rsidR="008F70A3" w:rsidRDefault="008F70A3" w:rsidP="008F70A3">
      <w:pPr>
        <w:ind w:left="720"/>
        <w:jc w:val="center"/>
        <w:rPr>
          <w:b/>
          <w:szCs w:val="28"/>
          <w:lang w:val="uk-UA"/>
        </w:rPr>
      </w:pPr>
      <w:r>
        <w:rPr>
          <w:b/>
          <w:szCs w:val="28"/>
          <w:shd w:val="clear" w:color="auto" w:fill="FFFFFF"/>
          <w:lang w:val="uk-UA"/>
        </w:rPr>
        <w:t>Роз’яснення щодо інструментів благодійності</w:t>
      </w:r>
    </w:p>
    <w:p w:rsidR="008F70A3" w:rsidRDefault="008F70A3" w:rsidP="008F70A3">
      <w:pPr>
        <w:ind w:left="720"/>
        <w:jc w:val="both"/>
        <w:rPr>
          <w:color w:val="1D2129"/>
          <w:szCs w:val="28"/>
          <w:shd w:val="clear" w:color="auto" w:fill="FFFFFF"/>
          <w:lang w:val="uk-UA"/>
        </w:rPr>
      </w:pPr>
    </w:p>
    <w:p w:rsidR="008F70A3" w:rsidRPr="00280E69" w:rsidRDefault="008F70A3" w:rsidP="008F70A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  <w:bookmarkStart w:id="0" w:name="n3"/>
      <w:bookmarkEnd w:id="0"/>
      <w:r w:rsidRPr="00280E69">
        <w:rPr>
          <w:b/>
          <w:sz w:val="28"/>
          <w:szCs w:val="28"/>
          <w:lang w:val="uk-UA"/>
        </w:rPr>
        <w:t>Види благодійної діяльності</w:t>
      </w:r>
    </w:p>
    <w:p w:rsidR="008F70A3" w:rsidRPr="00280E69" w:rsidRDefault="008F70A3" w:rsidP="008F70A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8F70A3" w:rsidRPr="00280E69" w:rsidRDefault="008F70A3" w:rsidP="008F70A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1" w:name="n42"/>
      <w:bookmarkEnd w:id="1"/>
      <w:r w:rsidRPr="00280E69">
        <w:rPr>
          <w:sz w:val="28"/>
          <w:szCs w:val="28"/>
          <w:lang w:val="uk-UA"/>
        </w:rPr>
        <w:t>Благодійники спільно чи індивідуально можуть здійснювати благодійну діяльність на підставі добровільного вибору одного або кількох таких її видів:</w:t>
      </w:r>
    </w:p>
    <w:p w:rsidR="008F70A3" w:rsidRPr="00280E69" w:rsidRDefault="008F70A3" w:rsidP="008F70A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8F70A3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2" w:name="n43"/>
      <w:bookmarkEnd w:id="2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безоплатна</w:t>
      </w:r>
      <w:proofErr w:type="spellEnd"/>
      <w:r>
        <w:rPr>
          <w:sz w:val="28"/>
          <w:szCs w:val="28"/>
        </w:rPr>
        <w:t xml:space="preserve"> передача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бенефіціарів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майна,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відступлення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бенефіціарам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прав;</w:t>
      </w:r>
    </w:p>
    <w:p w:rsidR="008F70A3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3" w:name="n44"/>
      <w:bookmarkEnd w:id="3"/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безоплатна</w:t>
      </w:r>
      <w:proofErr w:type="spellEnd"/>
      <w:r>
        <w:rPr>
          <w:sz w:val="28"/>
          <w:szCs w:val="28"/>
        </w:rPr>
        <w:t xml:space="preserve"> передача </w:t>
      </w:r>
      <w:proofErr w:type="spellStart"/>
      <w:r>
        <w:rPr>
          <w:sz w:val="28"/>
          <w:szCs w:val="28"/>
        </w:rPr>
        <w:t>бенефіціарам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майнові</w:t>
      </w:r>
      <w:proofErr w:type="spellEnd"/>
      <w:r>
        <w:rPr>
          <w:sz w:val="28"/>
          <w:szCs w:val="28"/>
        </w:rPr>
        <w:t xml:space="preserve"> права;</w:t>
      </w:r>
    </w:p>
    <w:p w:rsidR="008F70A3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4" w:name="n45"/>
      <w:bookmarkEnd w:id="4"/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безоплатна</w:t>
      </w:r>
      <w:proofErr w:type="spellEnd"/>
      <w:r>
        <w:rPr>
          <w:sz w:val="28"/>
          <w:szCs w:val="28"/>
        </w:rPr>
        <w:t xml:space="preserve"> передача </w:t>
      </w:r>
      <w:proofErr w:type="spellStart"/>
      <w:r>
        <w:rPr>
          <w:sz w:val="28"/>
          <w:szCs w:val="28"/>
        </w:rPr>
        <w:t>бенефіціарам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прав;</w:t>
      </w:r>
    </w:p>
    <w:p w:rsidR="008F70A3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5" w:name="n46"/>
      <w:bookmarkEnd w:id="5"/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безоплатне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користь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бенефіціарі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8F70A3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6" w:name="n47"/>
      <w:bookmarkEnd w:id="6"/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благодійна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контрактів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) про </w:t>
      </w:r>
      <w:proofErr w:type="spellStart"/>
      <w:r>
        <w:rPr>
          <w:sz w:val="28"/>
          <w:szCs w:val="28"/>
        </w:rPr>
        <w:t>благодійну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>;</w:t>
      </w:r>
    </w:p>
    <w:p w:rsidR="008F70A3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7" w:name="n48"/>
      <w:bookmarkEnd w:id="7"/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публічний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пожертв</w:t>
      </w:r>
      <w:proofErr w:type="spellEnd"/>
      <w:r>
        <w:rPr>
          <w:sz w:val="28"/>
          <w:szCs w:val="28"/>
        </w:rPr>
        <w:t>;</w:t>
      </w:r>
    </w:p>
    <w:p w:rsidR="008F70A3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8" w:name="n49"/>
      <w:bookmarkEnd w:id="8"/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ендавментами</w:t>
      </w:r>
      <w:proofErr w:type="spellEnd"/>
      <w:r>
        <w:rPr>
          <w:sz w:val="28"/>
          <w:szCs w:val="28"/>
        </w:rPr>
        <w:t>;</w:t>
      </w:r>
    </w:p>
    <w:p w:rsidR="008F70A3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9" w:name="n50"/>
      <w:bookmarkEnd w:id="9"/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заповітів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запові</w:t>
      </w:r>
      <w:proofErr w:type="gramStart"/>
      <w:r>
        <w:rPr>
          <w:sz w:val="28"/>
          <w:szCs w:val="28"/>
        </w:rPr>
        <w:t>дальних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відказів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благодійної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;</w:t>
      </w:r>
    </w:p>
    <w:p w:rsidR="008F70A3" w:rsidRPr="00280E69" w:rsidRDefault="008F70A3" w:rsidP="008F70A3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10" w:name="n51"/>
      <w:bookmarkEnd w:id="10"/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негрошових</w:t>
      </w:r>
      <w:proofErr w:type="spellEnd"/>
      <w:r>
        <w:rPr>
          <w:sz w:val="28"/>
          <w:szCs w:val="28"/>
        </w:rPr>
        <w:t xml:space="preserve"> лотерей, </w:t>
      </w:r>
      <w:proofErr w:type="spellStart"/>
      <w:r>
        <w:rPr>
          <w:sz w:val="28"/>
          <w:szCs w:val="28"/>
        </w:rPr>
        <w:t>конкурсів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законом.</w:t>
      </w:r>
    </w:p>
    <w:p w:rsidR="008F70A3" w:rsidRDefault="008F70A3" w:rsidP="008F70A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F70A3" w:rsidRDefault="008F70A3" w:rsidP="008F70A3">
      <w:pPr>
        <w:shd w:val="clear" w:color="auto" w:fill="FFFFFF"/>
        <w:ind w:right="-2" w:firstLine="709"/>
        <w:jc w:val="right"/>
        <w:textAlignment w:val="baseline"/>
        <w:rPr>
          <w:b/>
          <w:bCs/>
          <w:szCs w:val="28"/>
          <w:bdr w:val="none" w:sz="0" w:space="0" w:color="auto" w:frame="1"/>
          <w:lang w:val="uk-UA"/>
        </w:rPr>
      </w:pPr>
      <w:proofErr w:type="spellStart"/>
      <w:r>
        <w:rPr>
          <w:rStyle w:val="rvts9"/>
          <w:b/>
          <w:bCs/>
          <w:szCs w:val="28"/>
          <w:bdr w:val="none" w:sz="0" w:space="0" w:color="auto" w:frame="1"/>
        </w:rPr>
        <w:t>Стаття</w:t>
      </w:r>
      <w:proofErr w:type="spellEnd"/>
      <w:r>
        <w:rPr>
          <w:rStyle w:val="rvts9"/>
          <w:b/>
          <w:bCs/>
          <w:szCs w:val="28"/>
          <w:bdr w:val="none" w:sz="0" w:space="0" w:color="auto" w:frame="1"/>
        </w:rPr>
        <w:t xml:space="preserve"> 5.</w:t>
      </w:r>
      <w:r>
        <w:rPr>
          <w:rStyle w:val="apple-converted-space"/>
          <w:szCs w:val="28"/>
        </w:rPr>
        <w:t> </w:t>
      </w:r>
      <w:r>
        <w:rPr>
          <w:b/>
          <w:bCs/>
          <w:szCs w:val="28"/>
          <w:bdr w:val="none" w:sz="0" w:space="0" w:color="auto" w:frame="1"/>
          <w:lang w:val="uk-UA"/>
        </w:rPr>
        <w:t xml:space="preserve">Закону України </w:t>
      </w:r>
    </w:p>
    <w:p w:rsidR="008F70A3" w:rsidRDefault="008F70A3" w:rsidP="008F70A3">
      <w:pPr>
        <w:shd w:val="clear" w:color="auto" w:fill="FFFFFF"/>
        <w:ind w:right="-2" w:firstLine="709"/>
        <w:jc w:val="right"/>
        <w:textAlignment w:val="baseline"/>
        <w:rPr>
          <w:b/>
          <w:bCs/>
          <w:szCs w:val="28"/>
          <w:bdr w:val="none" w:sz="0" w:space="0" w:color="auto" w:frame="1"/>
          <w:lang w:val="uk-UA"/>
        </w:rPr>
      </w:pPr>
      <w:r>
        <w:rPr>
          <w:b/>
          <w:bCs/>
          <w:szCs w:val="28"/>
          <w:bdr w:val="none" w:sz="0" w:space="0" w:color="auto" w:frame="1"/>
          <w:lang w:val="uk-UA"/>
        </w:rPr>
        <w:t>«</w:t>
      </w:r>
      <w:r>
        <w:rPr>
          <w:b/>
          <w:bCs/>
          <w:szCs w:val="28"/>
          <w:bdr w:val="none" w:sz="0" w:space="0" w:color="auto" w:frame="1"/>
        </w:rPr>
        <w:t xml:space="preserve">Про </w:t>
      </w:r>
      <w:proofErr w:type="spellStart"/>
      <w:r>
        <w:rPr>
          <w:b/>
          <w:bCs/>
          <w:szCs w:val="28"/>
          <w:bdr w:val="none" w:sz="0" w:space="0" w:color="auto" w:frame="1"/>
        </w:rPr>
        <w:t>благодійну</w:t>
      </w:r>
      <w:proofErr w:type="spellEnd"/>
      <w:r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Cs w:val="28"/>
          <w:bdr w:val="none" w:sz="0" w:space="0" w:color="auto" w:frame="1"/>
        </w:rPr>
        <w:t>діяльність</w:t>
      </w:r>
      <w:proofErr w:type="spellEnd"/>
      <w:r>
        <w:rPr>
          <w:b/>
          <w:bCs/>
          <w:szCs w:val="28"/>
          <w:bdr w:val="none" w:sz="0" w:space="0" w:color="auto" w:frame="1"/>
        </w:rPr>
        <w:t xml:space="preserve"> </w:t>
      </w:r>
    </w:p>
    <w:p w:rsidR="008F70A3" w:rsidRDefault="008F70A3" w:rsidP="008F70A3">
      <w:pPr>
        <w:shd w:val="clear" w:color="auto" w:fill="FFFFFF"/>
        <w:ind w:right="-2" w:firstLine="709"/>
        <w:jc w:val="right"/>
        <w:textAlignment w:val="baseline"/>
        <w:rPr>
          <w:szCs w:val="28"/>
          <w:lang w:val="uk-UA"/>
        </w:rPr>
      </w:pPr>
      <w:r>
        <w:rPr>
          <w:b/>
          <w:bCs/>
          <w:szCs w:val="28"/>
          <w:bdr w:val="none" w:sz="0" w:space="0" w:color="auto" w:frame="1"/>
        </w:rPr>
        <w:t xml:space="preserve">та </w:t>
      </w:r>
      <w:proofErr w:type="spellStart"/>
      <w:r>
        <w:rPr>
          <w:b/>
          <w:bCs/>
          <w:szCs w:val="28"/>
          <w:bdr w:val="none" w:sz="0" w:space="0" w:color="auto" w:frame="1"/>
        </w:rPr>
        <w:t>благодійні</w:t>
      </w:r>
      <w:proofErr w:type="spellEnd"/>
      <w:r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Cs w:val="28"/>
          <w:bdr w:val="none" w:sz="0" w:space="0" w:color="auto" w:frame="1"/>
        </w:rPr>
        <w:t>організації</w:t>
      </w:r>
      <w:proofErr w:type="spellEnd"/>
      <w:r>
        <w:rPr>
          <w:b/>
          <w:bCs/>
          <w:szCs w:val="28"/>
          <w:bdr w:val="none" w:sz="0" w:space="0" w:color="auto" w:frame="1"/>
          <w:lang w:val="uk-UA"/>
        </w:rPr>
        <w:t xml:space="preserve">» </w:t>
      </w:r>
    </w:p>
    <w:p w:rsidR="008F70A3" w:rsidRPr="00C7536B" w:rsidRDefault="008F70A3" w:rsidP="008F70A3">
      <w:pPr>
        <w:ind w:left="720"/>
        <w:jc w:val="center"/>
        <w:rPr>
          <w:rFonts w:eastAsia="Calibri"/>
          <w:szCs w:val="28"/>
          <w:shd w:val="clear" w:color="auto" w:fill="FFFFFF"/>
          <w:lang w:val="uk-UA" w:eastAsia="en-US"/>
        </w:rPr>
      </w:pPr>
    </w:p>
    <w:p w:rsidR="008F70A3" w:rsidRDefault="008F70A3" w:rsidP="008F70A3">
      <w:pPr>
        <w:ind w:firstLine="720"/>
        <w:jc w:val="both"/>
        <w:rPr>
          <w:szCs w:val="28"/>
        </w:rPr>
      </w:pPr>
      <w:r>
        <w:rPr>
          <w:b/>
          <w:szCs w:val="28"/>
          <w:shd w:val="clear" w:color="auto" w:fill="FFFFFF"/>
          <w:lang w:val="uk-UA"/>
        </w:rPr>
        <w:t xml:space="preserve">Банківський </w:t>
      </w:r>
      <w:proofErr w:type="spellStart"/>
      <w:r>
        <w:rPr>
          <w:b/>
          <w:szCs w:val="28"/>
          <w:shd w:val="clear" w:color="auto" w:fill="FFFFFF"/>
          <w:lang w:val="uk-UA"/>
        </w:rPr>
        <w:t>ендавмент</w:t>
      </w:r>
      <w:proofErr w:type="spellEnd"/>
      <w:r>
        <w:rPr>
          <w:szCs w:val="28"/>
          <w:shd w:val="clear" w:color="auto" w:fill="FFFFFF"/>
          <w:lang w:val="uk-UA"/>
        </w:rPr>
        <w:t>. «</w:t>
      </w:r>
      <w:proofErr w:type="spellStart"/>
      <w:r>
        <w:rPr>
          <w:szCs w:val="28"/>
          <w:shd w:val="clear" w:color="auto" w:fill="FFFFFF"/>
          <w:lang w:val="uk-UA"/>
        </w:rPr>
        <w:t>Ендавмент</w:t>
      </w:r>
      <w:proofErr w:type="spellEnd"/>
      <w:r>
        <w:rPr>
          <w:szCs w:val="28"/>
          <w:shd w:val="clear" w:color="auto" w:fill="FFFFFF"/>
          <w:lang w:val="uk-UA"/>
        </w:rPr>
        <w:t xml:space="preserve">» означає суму коштів або цінних паперів, які вносяться благодійником у банк або небанківську фінансову установу, завдяки чому набувач благодійної допомоги отримує право на використання процентів або дивідендів, нарахованих на суму такого </w:t>
      </w:r>
      <w:proofErr w:type="spellStart"/>
      <w:r>
        <w:rPr>
          <w:szCs w:val="28"/>
          <w:shd w:val="clear" w:color="auto" w:fill="FFFFFF"/>
          <w:lang w:val="uk-UA"/>
        </w:rPr>
        <w:t>ендавменту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>
        <w:rPr>
          <w:szCs w:val="28"/>
          <w:shd w:val="clear" w:color="auto" w:fill="FFFFFF"/>
        </w:rPr>
        <w:t xml:space="preserve">При </w:t>
      </w:r>
      <w:proofErr w:type="spellStart"/>
      <w:r>
        <w:rPr>
          <w:szCs w:val="28"/>
          <w:shd w:val="clear" w:color="auto" w:fill="FFFFFF"/>
        </w:rPr>
        <w:t>цьому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такий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набувач</w:t>
      </w:r>
      <w:proofErr w:type="spellEnd"/>
      <w:r>
        <w:rPr>
          <w:szCs w:val="28"/>
          <w:shd w:val="clear" w:color="auto" w:fill="FFFFFF"/>
        </w:rPr>
        <w:t xml:space="preserve"> (</w:t>
      </w:r>
      <w:proofErr w:type="spellStart"/>
      <w:r>
        <w:rPr>
          <w:szCs w:val="28"/>
          <w:shd w:val="clear" w:color="auto" w:fill="FFFFFF"/>
        </w:rPr>
        <w:t>бенефіціар</w:t>
      </w:r>
      <w:proofErr w:type="spellEnd"/>
      <w:r>
        <w:rPr>
          <w:szCs w:val="28"/>
          <w:shd w:val="clear" w:color="auto" w:fill="FFFFFF"/>
        </w:rPr>
        <w:t xml:space="preserve">) не </w:t>
      </w:r>
      <w:proofErr w:type="spellStart"/>
      <w:r>
        <w:rPr>
          <w:szCs w:val="28"/>
          <w:shd w:val="clear" w:color="auto" w:fill="FFFFFF"/>
        </w:rPr>
        <w:t>має</w:t>
      </w:r>
      <w:proofErr w:type="spellEnd"/>
      <w:r>
        <w:rPr>
          <w:szCs w:val="28"/>
          <w:shd w:val="clear" w:color="auto" w:fill="FFFFFF"/>
        </w:rPr>
        <w:t xml:space="preserve"> права </w:t>
      </w:r>
      <w:proofErr w:type="spellStart"/>
      <w:r>
        <w:rPr>
          <w:szCs w:val="28"/>
          <w:shd w:val="clear" w:color="auto" w:fill="FFFFFF"/>
        </w:rPr>
        <w:t>витрачати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або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відчужувати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основну</w:t>
      </w:r>
      <w:proofErr w:type="spellEnd"/>
      <w:r>
        <w:rPr>
          <w:szCs w:val="28"/>
          <w:shd w:val="clear" w:color="auto" w:fill="FFFFFF"/>
        </w:rPr>
        <w:t xml:space="preserve"> суму такого </w:t>
      </w:r>
      <w:proofErr w:type="spellStart"/>
      <w:r>
        <w:rPr>
          <w:szCs w:val="28"/>
          <w:shd w:val="clear" w:color="auto" w:fill="FFFFFF"/>
        </w:rPr>
        <w:t>ендавменту</w:t>
      </w:r>
      <w:proofErr w:type="spellEnd"/>
      <w:r>
        <w:rPr>
          <w:szCs w:val="28"/>
          <w:shd w:val="clear" w:color="auto" w:fill="FFFFFF"/>
        </w:rPr>
        <w:t xml:space="preserve"> без </w:t>
      </w:r>
      <w:proofErr w:type="spellStart"/>
      <w:r>
        <w:rPr>
          <w:szCs w:val="28"/>
          <w:shd w:val="clear" w:color="auto" w:fill="FFFFFF"/>
        </w:rPr>
        <w:t>згоди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благодійника</w:t>
      </w:r>
      <w:proofErr w:type="spellEnd"/>
      <w:r>
        <w:rPr>
          <w:szCs w:val="28"/>
          <w:shd w:val="clear" w:color="auto" w:fill="FFFFFF"/>
        </w:rPr>
        <w:t>.</w:t>
      </w:r>
    </w:p>
    <w:p w:rsidR="008F70A3" w:rsidRDefault="008F70A3" w:rsidP="008F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color w:val="000000"/>
          <w:szCs w:val="28"/>
          <w:lang w:val="uk-UA"/>
        </w:rPr>
      </w:pPr>
    </w:p>
    <w:p w:rsidR="008F70A3" w:rsidRPr="00280E69" w:rsidRDefault="008F70A3" w:rsidP="008F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rFonts w:eastAsia="Calibri"/>
          <w:szCs w:val="28"/>
          <w:lang w:val="uk-UA" w:eastAsia="en-US"/>
        </w:rPr>
      </w:pPr>
      <w:r>
        <w:rPr>
          <w:b/>
          <w:color w:val="000000"/>
          <w:szCs w:val="28"/>
          <w:lang w:val="uk-UA"/>
        </w:rPr>
        <w:t>П</w:t>
      </w:r>
      <w:proofErr w:type="spellStart"/>
      <w:r>
        <w:rPr>
          <w:b/>
          <w:color w:val="000000"/>
          <w:szCs w:val="28"/>
        </w:rPr>
        <w:t>латіжна</w:t>
      </w:r>
      <w:proofErr w:type="spellEnd"/>
      <w:r>
        <w:rPr>
          <w:b/>
          <w:color w:val="000000"/>
          <w:szCs w:val="28"/>
        </w:rPr>
        <w:t xml:space="preserve"> система</w:t>
      </w:r>
      <w:r>
        <w:rPr>
          <w:color w:val="000000"/>
          <w:szCs w:val="28"/>
        </w:rPr>
        <w:t xml:space="preserve"> - </w:t>
      </w:r>
      <w:proofErr w:type="spellStart"/>
      <w:r>
        <w:rPr>
          <w:color w:val="000000"/>
          <w:szCs w:val="28"/>
        </w:rPr>
        <w:t>платіжна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організація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учасники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платіжної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системи</w:t>
      </w:r>
      <w:proofErr w:type="spellEnd"/>
      <w:r>
        <w:rPr>
          <w:color w:val="000000"/>
          <w:szCs w:val="28"/>
        </w:rPr>
        <w:t xml:space="preserve"> та </w:t>
      </w:r>
      <w:proofErr w:type="spellStart"/>
      <w:r>
        <w:rPr>
          <w:color w:val="000000"/>
          <w:szCs w:val="28"/>
        </w:rPr>
        <w:t>сукупність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відносин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що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виникають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між</w:t>
      </w:r>
      <w:proofErr w:type="spellEnd"/>
      <w:r>
        <w:rPr>
          <w:color w:val="000000"/>
          <w:szCs w:val="28"/>
        </w:rPr>
        <w:t xml:space="preserve"> ними при </w:t>
      </w:r>
      <w:proofErr w:type="spellStart"/>
      <w:r>
        <w:rPr>
          <w:color w:val="000000"/>
          <w:szCs w:val="28"/>
        </w:rPr>
        <w:t>проведенні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переказу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коштів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Проведення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переказу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коштів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є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обов'язковою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функцією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що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має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lastRenderedPageBreak/>
        <w:t>виконувати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платіжна</w:t>
      </w:r>
      <w:proofErr w:type="spellEnd"/>
      <w:r>
        <w:rPr>
          <w:color w:val="000000"/>
          <w:szCs w:val="28"/>
        </w:rPr>
        <w:t xml:space="preserve"> система. </w:t>
      </w:r>
      <w:r>
        <w:rPr>
          <w:szCs w:val="28"/>
          <w:shd w:val="clear" w:color="auto" w:fill="FFFFFF"/>
          <w:lang w:val="uk-UA"/>
        </w:rPr>
        <w:t xml:space="preserve">Платіжна система </w:t>
      </w:r>
      <w:r>
        <w:rPr>
          <w:szCs w:val="28"/>
          <w:shd w:val="clear" w:color="auto" w:fill="FFFFFF"/>
        </w:rPr>
        <w:t xml:space="preserve">не </w:t>
      </w:r>
      <w:proofErr w:type="spellStart"/>
      <w:r>
        <w:rPr>
          <w:szCs w:val="28"/>
          <w:shd w:val="clear" w:color="auto" w:fill="FFFFFF"/>
        </w:rPr>
        <w:t>є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фінансовим</w:t>
      </w:r>
      <w:proofErr w:type="spellEnd"/>
      <w:r>
        <w:rPr>
          <w:szCs w:val="28"/>
          <w:shd w:val="clear" w:color="auto" w:fill="FFFFFF"/>
        </w:rPr>
        <w:t xml:space="preserve"> агентом, тому </w:t>
      </w:r>
      <w:proofErr w:type="spellStart"/>
      <w:r>
        <w:rPr>
          <w:szCs w:val="28"/>
          <w:shd w:val="clear" w:color="auto" w:fill="FFFFFF"/>
        </w:rPr>
        <w:t>всі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фінансові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дані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щодо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платіжних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реквізитів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карток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вводяться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виключно</w:t>
      </w:r>
      <w:proofErr w:type="spellEnd"/>
      <w:r>
        <w:rPr>
          <w:szCs w:val="28"/>
          <w:shd w:val="clear" w:color="auto" w:fill="FFFFFF"/>
        </w:rPr>
        <w:t xml:space="preserve"> на </w:t>
      </w:r>
      <w:proofErr w:type="spellStart"/>
      <w:r>
        <w:rPr>
          <w:szCs w:val="28"/>
          <w:shd w:val="clear" w:color="auto" w:fill="FFFFFF"/>
        </w:rPr>
        <w:t>стороні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банків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що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є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найкращою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гарантією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безпеки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платіжних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даних</w:t>
      </w:r>
      <w:proofErr w:type="spellEnd"/>
      <w:r>
        <w:rPr>
          <w:szCs w:val="28"/>
          <w:shd w:val="clear" w:color="auto" w:fill="FFFFFF"/>
        </w:rPr>
        <w:t xml:space="preserve">. Для </w:t>
      </w:r>
      <w:proofErr w:type="spellStart"/>
      <w:r>
        <w:rPr>
          <w:szCs w:val="28"/>
          <w:shd w:val="clear" w:color="auto" w:fill="FFFFFF"/>
        </w:rPr>
        <w:t>передачі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вс</w:t>
      </w:r>
      <w:proofErr w:type="gramEnd"/>
      <w:r>
        <w:rPr>
          <w:szCs w:val="28"/>
          <w:shd w:val="clear" w:color="auto" w:fill="FFFFFF"/>
        </w:rPr>
        <w:t>іх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інших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даних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використовується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шифрований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</w:t>
      </w:r>
      <w:proofErr w:type="spellEnd"/>
      <w:r>
        <w:rPr>
          <w:szCs w:val="28"/>
          <w:shd w:val="clear" w:color="auto" w:fill="FFFFFF"/>
          <w:lang w:val="uk-UA"/>
        </w:rPr>
        <w:t>р</w:t>
      </w:r>
      <w:proofErr w:type="spellStart"/>
      <w:r>
        <w:rPr>
          <w:szCs w:val="28"/>
          <w:shd w:val="clear" w:color="auto" w:fill="FFFFFF"/>
        </w:rPr>
        <w:t>отокол</w:t>
      </w:r>
      <w:proofErr w:type="spellEnd"/>
      <w:r>
        <w:rPr>
          <w:szCs w:val="28"/>
          <w:shd w:val="clear" w:color="auto" w:fill="FFFFFF"/>
        </w:rPr>
        <w:t xml:space="preserve"> SSL.</w:t>
      </w:r>
    </w:p>
    <w:p w:rsidR="008F70A3" w:rsidRDefault="008F70A3" w:rsidP="008F70A3"/>
    <w:p w:rsidR="008F70A3" w:rsidRPr="006E0552" w:rsidRDefault="008F70A3" w:rsidP="002E7C85">
      <w:pPr>
        <w:rPr>
          <w:sz w:val="20"/>
          <w:lang w:val="uk-UA"/>
        </w:rPr>
      </w:pPr>
    </w:p>
    <w:sectPr w:rsidR="008F70A3" w:rsidRPr="006E0552" w:rsidSect="0090180F">
      <w:headerReference w:type="even" r:id="rId10"/>
      <w:headerReference w:type="default" r:id="rId11"/>
      <w:pgSz w:w="11906" w:h="16838" w:code="9"/>
      <w:pgMar w:top="1134" w:right="851" w:bottom="1134" w:left="1701" w:header="624" w:footer="624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92" w:rsidRDefault="00D60392">
      <w:r>
        <w:separator/>
      </w:r>
    </w:p>
  </w:endnote>
  <w:endnote w:type="continuationSeparator" w:id="1">
    <w:p w:rsidR="00D60392" w:rsidRDefault="00D6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92" w:rsidRDefault="00D60392">
      <w:r>
        <w:separator/>
      </w:r>
    </w:p>
  </w:footnote>
  <w:footnote w:type="continuationSeparator" w:id="1">
    <w:p w:rsidR="00D60392" w:rsidRDefault="00D60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C1" w:rsidRDefault="00976BC1" w:rsidP="00773BF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BC1" w:rsidRDefault="00976B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C1" w:rsidRDefault="00976BC1" w:rsidP="00773BF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16FE">
      <w:rPr>
        <w:rStyle w:val="a9"/>
        <w:noProof/>
      </w:rPr>
      <w:t>4</w:t>
    </w:r>
    <w:r>
      <w:rPr>
        <w:rStyle w:val="a9"/>
      </w:rPr>
      <w:fldChar w:fldCharType="end"/>
    </w:r>
  </w:p>
  <w:p w:rsidR="00976BC1" w:rsidRDefault="00976B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712"/>
    <w:multiLevelType w:val="hybridMultilevel"/>
    <w:tmpl w:val="E618E572"/>
    <w:lvl w:ilvl="0" w:tplc="26168C54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14D46B2"/>
    <w:multiLevelType w:val="hybridMultilevel"/>
    <w:tmpl w:val="C0A88C98"/>
    <w:lvl w:ilvl="0" w:tplc="24B219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EC533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4285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7C6E3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768B0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43E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DE7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AA5D3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FEEFE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9415EC"/>
    <w:multiLevelType w:val="hybridMultilevel"/>
    <w:tmpl w:val="CCE05334"/>
    <w:lvl w:ilvl="0" w:tplc="B6264740">
      <w:start w:val="1"/>
      <w:numFmt w:val="decimal"/>
      <w:lvlText w:val="%1."/>
      <w:lvlJc w:val="left"/>
      <w:pPr>
        <w:tabs>
          <w:tab w:val="num" w:pos="1995"/>
        </w:tabs>
        <w:ind w:left="19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685722AC"/>
    <w:multiLevelType w:val="hybridMultilevel"/>
    <w:tmpl w:val="58203D42"/>
    <w:lvl w:ilvl="0" w:tplc="6D1E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149"/>
    <w:rsid w:val="00007F63"/>
    <w:rsid w:val="00011395"/>
    <w:rsid w:val="00011590"/>
    <w:rsid w:val="000224D1"/>
    <w:rsid w:val="00034234"/>
    <w:rsid w:val="00036751"/>
    <w:rsid w:val="00043F39"/>
    <w:rsid w:val="0008034D"/>
    <w:rsid w:val="000828E0"/>
    <w:rsid w:val="00086449"/>
    <w:rsid w:val="000934AE"/>
    <w:rsid w:val="00097BFF"/>
    <w:rsid w:val="000A4EFB"/>
    <w:rsid w:val="000C369C"/>
    <w:rsid w:val="000D46E5"/>
    <w:rsid w:val="000E09B6"/>
    <w:rsid w:val="00106CEF"/>
    <w:rsid w:val="00115DDA"/>
    <w:rsid w:val="00121F57"/>
    <w:rsid w:val="00125DA0"/>
    <w:rsid w:val="00127C87"/>
    <w:rsid w:val="00162705"/>
    <w:rsid w:val="00196AF5"/>
    <w:rsid w:val="001B1210"/>
    <w:rsid w:val="001B6149"/>
    <w:rsid w:val="001C1F87"/>
    <w:rsid w:val="001D7D9A"/>
    <w:rsid w:val="002103D6"/>
    <w:rsid w:val="00246E82"/>
    <w:rsid w:val="00263011"/>
    <w:rsid w:val="0027553C"/>
    <w:rsid w:val="00276051"/>
    <w:rsid w:val="00292857"/>
    <w:rsid w:val="002928FF"/>
    <w:rsid w:val="00294981"/>
    <w:rsid w:val="00295E46"/>
    <w:rsid w:val="002B2DCA"/>
    <w:rsid w:val="002B4B06"/>
    <w:rsid w:val="002D3C74"/>
    <w:rsid w:val="002D619A"/>
    <w:rsid w:val="002E2E91"/>
    <w:rsid w:val="002E7C85"/>
    <w:rsid w:val="002F1FBE"/>
    <w:rsid w:val="00300662"/>
    <w:rsid w:val="00313AF6"/>
    <w:rsid w:val="00322F7B"/>
    <w:rsid w:val="00373B51"/>
    <w:rsid w:val="00376E03"/>
    <w:rsid w:val="003835CF"/>
    <w:rsid w:val="003B35A5"/>
    <w:rsid w:val="003C496D"/>
    <w:rsid w:val="003D608B"/>
    <w:rsid w:val="003E6297"/>
    <w:rsid w:val="003E73D5"/>
    <w:rsid w:val="003F7829"/>
    <w:rsid w:val="004019C5"/>
    <w:rsid w:val="00434A9E"/>
    <w:rsid w:val="00436137"/>
    <w:rsid w:val="0044033E"/>
    <w:rsid w:val="004439C1"/>
    <w:rsid w:val="0045269C"/>
    <w:rsid w:val="0046619B"/>
    <w:rsid w:val="00490411"/>
    <w:rsid w:val="0049379C"/>
    <w:rsid w:val="00496A20"/>
    <w:rsid w:val="00497445"/>
    <w:rsid w:val="004B75FE"/>
    <w:rsid w:val="004C135C"/>
    <w:rsid w:val="004C69C5"/>
    <w:rsid w:val="004E5EC3"/>
    <w:rsid w:val="004E634D"/>
    <w:rsid w:val="005128F8"/>
    <w:rsid w:val="00512CDD"/>
    <w:rsid w:val="00521B57"/>
    <w:rsid w:val="00521EF1"/>
    <w:rsid w:val="00530B6E"/>
    <w:rsid w:val="005333DA"/>
    <w:rsid w:val="00537ED7"/>
    <w:rsid w:val="005443CA"/>
    <w:rsid w:val="00550056"/>
    <w:rsid w:val="00555237"/>
    <w:rsid w:val="0058670B"/>
    <w:rsid w:val="00586E60"/>
    <w:rsid w:val="005A11B4"/>
    <w:rsid w:val="005D2D53"/>
    <w:rsid w:val="00610F8F"/>
    <w:rsid w:val="00611745"/>
    <w:rsid w:val="00614F6E"/>
    <w:rsid w:val="00615C25"/>
    <w:rsid w:val="00617E9C"/>
    <w:rsid w:val="0062246A"/>
    <w:rsid w:val="00625B91"/>
    <w:rsid w:val="0064470D"/>
    <w:rsid w:val="006551CE"/>
    <w:rsid w:val="0065526C"/>
    <w:rsid w:val="00661B85"/>
    <w:rsid w:val="006763E0"/>
    <w:rsid w:val="0069582A"/>
    <w:rsid w:val="006A1AF1"/>
    <w:rsid w:val="006A5CFA"/>
    <w:rsid w:val="006B75B6"/>
    <w:rsid w:val="006D3687"/>
    <w:rsid w:val="006D64C4"/>
    <w:rsid w:val="006E0552"/>
    <w:rsid w:val="00704754"/>
    <w:rsid w:val="00715823"/>
    <w:rsid w:val="00725461"/>
    <w:rsid w:val="00730C22"/>
    <w:rsid w:val="00760CED"/>
    <w:rsid w:val="007624CB"/>
    <w:rsid w:val="00772496"/>
    <w:rsid w:val="00773BFE"/>
    <w:rsid w:val="007742C1"/>
    <w:rsid w:val="0077578A"/>
    <w:rsid w:val="007A3726"/>
    <w:rsid w:val="007C16FE"/>
    <w:rsid w:val="007E0784"/>
    <w:rsid w:val="0084689F"/>
    <w:rsid w:val="00860D2B"/>
    <w:rsid w:val="00861310"/>
    <w:rsid w:val="008A79FE"/>
    <w:rsid w:val="008C35A1"/>
    <w:rsid w:val="008C78BB"/>
    <w:rsid w:val="008E11FD"/>
    <w:rsid w:val="008E39E9"/>
    <w:rsid w:val="008E4418"/>
    <w:rsid w:val="008F0845"/>
    <w:rsid w:val="008F2F86"/>
    <w:rsid w:val="008F70A3"/>
    <w:rsid w:val="0090180F"/>
    <w:rsid w:val="009072F5"/>
    <w:rsid w:val="00940912"/>
    <w:rsid w:val="00942A2C"/>
    <w:rsid w:val="0096257F"/>
    <w:rsid w:val="0097659C"/>
    <w:rsid w:val="00976BC1"/>
    <w:rsid w:val="00976FEE"/>
    <w:rsid w:val="009A0D6A"/>
    <w:rsid w:val="009A7E2B"/>
    <w:rsid w:val="009C3F2A"/>
    <w:rsid w:val="009D6A7D"/>
    <w:rsid w:val="009F6FD2"/>
    <w:rsid w:val="00A02F48"/>
    <w:rsid w:val="00A24694"/>
    <w:rsid w:val="00A3649F"/>
    <w:rsid w:val="00A66335"/>
    <w:rsid w:val="00A715D8"/>
    <w:rsid w:val="00A71A76"/>
    <w:rsid w:val="00A90FEE"/>
    <w:rsid w:val="00A960C9"/>
    <w:rsid w:val="00AA13A3"/>
    <w:rsid w:val="00B041AA"/>
    <w:rsid w:val="00B2590B"/>
    <w:rsid w:val="00B26E55"/>
    <w:rsid w:val="00B3314C"/>
    <w:rsid w:val="00B405F0"/>
    <w:rsid w:val="00B459AF"/>
    <w:rsid w:val="00B675A0"/>
    <w:rsid w:val="00B71315"/>
    <w:rsid w:val="00B80F09"/>
    <w:rsid w:val="00B97131"/>
    <w:rsid w:val="00BA042B"/>
    <w:rsid w:val="00BA4E36"/>
    <w:rsid w:val="00BC043F"/>
    <w:rsid w:val="00BE5D0A"/>
    <w:rsid w:val="00C269EE"/>
    <w:rsid w:val="00C31E9B"/>
    <w:rsid w:val="00C54FC9"/>
    <w:rsid w:val="00C73698"/>
    <w:rsid w:val="00C80E6E"/>
    <w:rsid w:val="00C8346B"/>
    <w:rsid w:val="00C86844"/>
    <w:rsid w:val="00C90593"/>
    <w:rsid w:val="00CA164C"/>
    <w:rsid w:val="00CC75B7"/>
    <w:rsid w:val="00CE4C07"/>
    <w:rsid w:val="00CF320D"/>
    <w:rsid w:val="00D31DC8"/>
    <w:rsid w:val="00D326BD"/>
    <w:rsid w:val="00D50ECB"/>
    <w:rsid w:val="00D54689"/>
    <w:rsid w:val="00D54D3B"/>
    <w:rsid w:val="00D55481"/>
    <w:rsid w:val="00D60392"/>
    <w:rsid w:val="00D91A31"/>
    <w:rsid w:val="00DA67A8"/>
    <w:rsid w:val="00DB464E"/>
    <w:rsid w:val="00DD459A"/>
    <w:rsid w:val="00E12F55"/>
    <w:rsid w:val="00E16006"/>
    <w:rsid w:val="00E74FC6"/>
    <w:rsid w:val="00E835FE"/>
    <w:rsid w:val="00EA0F43"/>
    <w:rsid w:val="00EA6239"/>
    <w:rsid w:val="00EC4518"/>
    <w:rsid w:val="00ED4EC3"/>
    <w:rsid w:val="00EF3EF2"/>
    <w:rsid w:val="00F14FC9"/>
    <w:rsid w:val="00F16B70"/>
    <w:rsid w:val="00F26D4F"/>
    <w:rsid w:val="00F47CD0"/>
    <w:rsid w:val="00F55C30"/>
    <w:rsid w:val="00F8718B"/>
    <w:rsid w:val="00FB15A7"/>
    <w:rsid w:val="00F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8">
    <w:name w:val="heading 8"/>
    <w:basedOn w:val="a"/>
    <w:next w:val="a"/>
    <w:qFormat/>
    <w:rsid w:val="00ED4E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FB15A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15DDA"/>
    <w:rPr>
      <w:color w:val="0000FF"/>
      <w:u w:val="single"/>
    </w:rPr>
  </w:style>
  <w:style w:type="paragraph" w:styleId="a7">
    <w:name w:val="Body Text Indent"/>
    <w:basedOn w:val="a"/>
    <w:rsid w:val="00D54D3B"/>
    <w:pPr>
      <w:ind w:firstLine="851"/>
      <w:jc w:val="both"/>
    </w:pPr>
    <w:rPr>
      <w:lang w:val="uk-UA"/>
    </w:rPr>
  </w:style>
  <w:style w:type="paragraph" w:styleId="a8">
    <w:name w:val="Body Text"/>
    <w:basedOn w:val="a"/>
    <w:rsid w:val="00F16B70"/>
    <w:pPr>
      <w:spacing w:after="120"/>
    </w:pPr>
  </w:style>
  <w:style w:type="paragraph" w:customStyle="1" w:styleId="Style2">
    <w:name w:val="Style2"/>
    <w:basedOn w:val="a"/>
    <w:rsid w:val="004439C1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uk-UA" w:eastAsia="uk-UA"/>
    </w:rPr>
  </w:style>
  <w:style w:type="paragraph" w:customStyle="1" w:styleId="Style3">
    <w:name w:val="Style3"/>
    <w:basedOn w:val="a"/>
    <w:rsid w:val="004439C1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uk-UA" w:eastAsia="uk-UA"/>
    </w:rPr>
  </w:style>
  <w:style w:type="paragraph" w:customStyle="1" w:styleId="Style4">
    <w:name w:val="Style4"/>
    <w:basedOn w:val="a"/>
    <w:rsid w:val="004439C1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  <w:lang w:val="uk-UA" w:eastAsia="uk-UA"/>
    </w:rPr>
  </w:style>
  <w:style w:type="paragraph" w:customStyle="1" w:styleId="Style5">
    <w:name w:val="Style5"/>
    <w:basedOn w:val="a"/>
    <w:rsid w:val="004439C1"/>
    <w:pPr>
      <w:widowControl w:val="0"/>
      <w:autoSpaceDE w:val="0"/>
      <w:autoSpaceDN w:val="0"/>
      <w:adjustRightInd w:val="0"/>
      <w:spacing w:line="318" w:lineRule="exact"/>
    </w:pPr>
    <w:rPr>
      <w:rFonts w:ascii="Courier New" w:hAnsi="Courier New"/>
      <w:sz w:val="24"/>
      <w:szCs w:val="24"/>
      <w:lang w:val="uk-UA" w:eastAsia="uk-UA"/>
    </w:rPr>
  </w:style>
  <w:style w:type="character" w:customStyle="1" w:styleId="FontStyle12">
    <w:name w:val="Font Style12"/>
    <w:rsid w:val="004439C1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rsid w:val="004439C1"/>
    <w:rPr>
      <w:rFonts w:ascii="Times New Roman" w:hAnsi="Times New Roman" w:cs="Times New Roman"/>
      <w:b/>
      <w:bCs/>
      <w:smallCaps/>
      <w:spacing w:val="-10"/>
      <w:sz w:val="54"/>
      <w:szCs w:val="54"/>
    </w:rPr>
  </w:style>
  <w:style w:type="character" w:customStyle="1" w:styleId="FontStyle14">
    <w:name w:val="Font Style14"/>
    <w:rsid w:val="004439C1"/>
    <w:rPr>
      <w:rFonts w:ascii="Sylfaen" w:hAnsi="Sylfaen" w:cs="Sylfaen"/>
      <w:b/>
      <w:bCs/>
      <w:i/>
      <w:iCs/>
      <w:spacing w:val="-40"/>
      <w:sz w:val="40"/>
      <w:szCs w:val="40"/>
    </w:rPr>
  </w:style>
  <w:style w:type="character" w:customStyle="1" w:styleId="FontStyle15">
    <w:name w:val="Font Style15"/>
    <w:rsid w:val="004439C1"/>
    <w:rPr>
      <w:rFonts w:ascii="Times New Roman" w:hAnsi="Times New Roman" w:cs="Times New Roman"/>
      <w:spacing w:val="20"/>
      <w:sz w:val="24"/>
      <w:szCs w:val="24"/>
    </w:rPr>
  </w:style>
  <w:style w:type="character" w:styleId="a9">
    <w:name w:val="page number"/>
    <w:basedOn w:val="a0"/>
    <w:rsid w:val="00322F7B"/>
  </w:style>
  <w:style w:type="paragraph" w:customStyle="1" w:styleId="10">
    <w:name w:val="Знак1 Знак Знак Знак Знак Знак Знак Знак Знак Знак Знак Знак Знак"/>
    <w:basedOn w:val="a"/>
    <w:rsid w:val="00ED4EC3"/>
    <w:rPr>
      <w:rFonts w:ascii="Verdana" w:eastAsia="MS Mincho" w:hAnsi="Verdana" w:cs="Verdana"/>
      <w:sz w:val="20"/>
      <w:lang w:val="en-US" w:eastAsia="en-US"/>
    </w:rPr>
  </w:style>
  <w:style w:type="paragraph" w:customStyle="1" w:styleId="rvps2">
    <w:name w:val="rvps2"/>
    <w:basedOn w:val="a"/>
    <w:rsid w:val="008F70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F70A3"/>
  </w:style>
  <w:style w:type="character" w:customStyle="1" w:styleId="rvts9">
    <w:name w:val="rvts9"/>
    <w:rsid w:val="008F7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prvo.ck.ua/upload/files/1-9-290%281%29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ty.khark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hprvo.ck.ua/upload/files/94_1_9-84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6336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7433</CharactersWithSpaces>
  <SharedDoc>false</SharedDoc>
  <HLinks>
    <vt:vector size="18" baseType="variant">
      <vt:variant>
        <vt:i4>2228348</vt:i4>
      </vt:variant>
      <vt:variant>
        <vt:i4>6</vt:i4>
      </vt:variant>
      <vt:variant>
        <vt:i4>0</vt:i4>
      </vt:variant>
      <vt:variant>
        <vt:i4>5</vt:i4>
      </vt:variant>
      <vt:variant>
        <vt:lpwstr>http://shprvo.ck.ua/upload/files/94_1_9-848.doc</vt:lpwstr>
      </vt:variant>
      <vt:variant>
        <vt:lpwstr/>
      </vt:variant>
      <vt:variant>
        <vt:i4>3735672</vt:i4>
      </vt:variant>
      <vt:variant>
        <vt:i4>3</vt:i4>
      </vt:variant>
      <vt:variant>
        <vt:i4>0</vt:i4>
      </vt:variant>
      <vt:variant>
        <vt:i4>5</vt:i4>
      </vt:variant>
      <vt:variant>
        <vt:lpwstr>http://shprvo.ck.ua/upload/files/1-9-290%281%29.doc</vt:lpwstr>
      </vt:variant>
      <vt:variant>
        <vt:lpwstr/>
      </vt:variant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http://www.city.kharkov.ua/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Гость</cp:lastModifiedBy>
  <cp:revision>2</cp:revision>
  <cp:lastPrinted>2016-10-28T12:18:00Z</cp:lastPrinted>
  <dcterms:created xsi:type="dcterms:W3CDTF">2016-11-08T09:59:00Z</dcterms:created>
  <dcterms:modified xsi:type="dcterms:W3CDTF">2016-11-08T09:59:00Z</dcterms:modified>
</cp:coreProperties>
</file>